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29.png" ContentType="image/png"/>
  <Override PartName="/word/media/rId41.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2024-06-26</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
          <w:iCs/>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hyperlink w:anchor="sec-network-anatomy">
        <w:r>
          <w:rPr>
            <w:rStyle w:val="Hyperlink"/>
          </w:rPr>
          <w:t xml:space="preserve">Section 1</w:t>
        </w:r>
      </w:hyperlink>
      <w:r>
        <w:t xml:space="preserve">), a clear understanding of why one wants to predict a food web (</w:t>
      </w:r>
      <w:hyperlink w:anchor="sec-network-why">
        <w:r>
          <w:rPr>
            <w:rStyle w:val="Hyperlink"/>
          </w:rPr>
          <w:t xml:space="preserve">Section 2</w:t>
        </w:r>
      </w:hyperlink>
      <w:r>
        <w:t xml:space="preserve">), and ultimately one needs to be able to asses and evaluate which model family is going to best match up with the goal of network prediction (</w:t>
      </w:r>
      <w:hyperlink w:anchor="sec-network-build">
        <w:r>
          <w:rPr>
            <w:rStyle w:val="Hyperlink"/>
          </w:rPr>
          <w:t xml:space="preserve">Section 3</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5929297"/>
                  <wp:effectExtent b="0" l="0" r="0" t="0"/>
                  <wp:docPr descr="" title="" id="21" name="Picture"/>
                  <a:graphic>
                    <a:graphicData uri="http://schemas.openxmlformats.org/drawingml/2006/picture">
                      <pic:pic>
                        <pic:nvPicPr>
                          <pic:cNvPr descr="images/concept_2.png" id="22" name="Picture"/>
                          <pic:cNvPicPr>
                            <a:picLocks noChangeArrowheads="1" noChangeAspect="1"/>
                          </pic:cNvPicPr>
                        </pic:nvPicPr>
                        <pic:blipFill>
                          <a:blip r:embed="rId20"/>
                          <a:stretch>
                            <a:fillRect/>
                          </a:stretch>
                        </pic:blipFill>
                        <pic:spPr bwMode="auto">
                          <a:xfrm>
                            <a:off x="0" y="0"/>
                            <a:ext cx="5334000" cy="592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Panel</w:t>
            </w:r>
            <w:r>
              <w:t xml:space="preserve"> </w:t>
            </w:r>
            <w:r>
              <w:rPr>
                <w:b/>
                <w:bCs/>
              </w:rPr>
              <w:t xml:space="preserve">A</w:t>
            </w:r>
            <w:r>
              <w:t xml:space="preserve"> </w:t>
            </w:r>
            <w:r>
              <w:t xml:space="preserve">shows the many ways in which a food web can be defined and described at the node, edge, and even network level. Panel</w:t>
            </w:r>
            <w:r>
              <w:t xml:space="preserve"> </w:t>
            </w:r>
            <w:r>
              <w:rPr>
                <w:b/>
                <w:bCs/>
              </w:rPr>
              <w:t xml:space="preserve">B</w:t>
            </w:r>
            <w:r>
              <w:t xml:space="preserve"> </w:t>
            </w:r>
            <w:r>
              <w:t xml:space="preserve">(will) shows how the way in which we predict networks also limited and often focuses only only predicting the structure of a network (the final networks is parametrised by the expected structure of the network) or the interactions between species (the final network is determined by the behaviour of the nodes). These different models also encode different philosophies/hypotheses not only as to what determines how a network will look like but also how the final network itself is encoded</w:t>
            </w:r>
            <w:r>
              <w:t xml:space="preserve"> </w:t>
            </w:r>
            <w:r>
              <w:rPr>
                <w:i/>
                <w:iCs/>
              </w:rPr>
              <w:t xml:space="preserve">i.e.,</w:t>
            </w:r>
            <w:r>
              <w:t xml:space="preserve"> </w:t>
            </w:r>
            <w:r>
              <w:t xml:space="preserve">its anatomy. (</w:t>
            </w:r>
            <w:r>
              <w:rPr>
                <w:i/>
                <w:iCs/>
              </w:rPr>
              <w:t xml:space="preserve">aside:</w:t>
            </w:r>
            <w:r>
              <w:t xml:space="preserve"> </w:t>
            </w:r>
            <w:r>
              <w:t xml:space="preserve">there is the potential to either try and visually summarise how the different model families define a network (so repeating the motifs used in the ANATOMY panel) alternatively it would be cool to try and have a panel C that tries to quantify the different</w:t>
            </w:r>
            <w:r>
              <w:t xml:space="preserve"> </w:t>
            </w:r>
            <w:r>
              <w:t xml:space="preserve">‘</w:t>
            </w:r>
            <w:r>
              <w:t xml:space="preserve">data ingredients</w:t>
            </w:r>
            <w:r>
              <w:t xml:space="preserve">’</w:t>
            </w:r>
            <w:r>
              <w:t xml:space="preserve"> </w:t>
            </w:r>
            <w:r>
              <w:t xml:space="preserve">you would need to try and construct a network, this would probably be very visually overwhelming though…)</w:t>
            </w:r>
          </w:p>
          <w:bookmarkEnd w:id="23"/>
        </w:tc>
      </w:tr>
    </w:tbl>
    <w:bookmarkStart w:id="36" w:name="sec-network-anatomy"/>
    <w:p>
      <w:pPr>
        <w:pStyle w:val="Heading2"/>
      </w:pPr>
      <w:r>
        <w:t xml:space="preserve">1 The anatomy of a food web</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[17]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concept">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bookmarkStart w:id="24" w:name="how-do-we-define-a-node"/>
    <w:p>
      <w:pPr>
        <w:pStyle w:val="Heading3"/>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[18]</w:t>
      </w:r>
      <w:r>
        <w:t xml:space="preserve"> </w:t>
      </w:r>
      <w:r>
        <w:t xml:space="preserve">and in cases where the adult and larval stages of a species have different diets it may make ecological sense</w:t>
      </w:r>
      <w:r>
        <w:t xml:space="preserve"> </w:t>
      </w:r>
      <w:r>
        <w:t xml:space="preserve">[19]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[20]</w:t>
      </w:r>
      <w:r>
        <w:t xml:space="preserve"> </w:t>
      </w:r>
      <w:r>
        <w:t xml:space="preserve">or potential</w:t>
      </w:r>
      <w:r>
        <w:t xml:space="preserve"> </w:t>
      </w:r>
      <w:r>
        <w:t xml:space="preserve">[21]</w:t>
      </w:r>
      <w:r>
        <w:t xml:space="preserve"> </w:t>
      </w:r>
      <w:r>
        <w:t xml:space="preserve">feeding links, or energy transfer and material flow</w:t>
      </w:r>
      <w:r>
        <w:t xml:space="preserve"> </w:t>
      </w:r>
      <w:r>
        <w:t xml:space="preserve">[22]</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23]</w:t>
      </w:r>
      <w:r>
        <w:t xml:space="preserve"> </w:t>
      </w:r>
      <w:r>
        <w:t xml:space="preserve">or continuous measurements</w:t>
      </w:r>
      <w:r>
        <w:t xml:space="preserve"> </w:t>
      </w:r>
      <w:r>
        <w:t xml:space="preserve">[which quantifies the strength of of an interaction, 24]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25"/>
    <w:bookmarkStart w:id="35" w:name="Xd2b304d41a6d0e9195260e2c4114d0b234683e7"/>
    <w:p>
      <w:pPr>
        <w:pStyle w:val="Heading3"/>
      </w:pPr>
      <w:r>
        <w:t xml:space="preserve">1.3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[25,26]</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opt/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Moving between the feasibility and reality of interactions</w:t>
            </w:r>
          </w:p>
        </w:tc>
      </w:tr>
      <w:tr>
        <w:trPr>
          <w:cantSplit/>
        </w:trPr>
        <w:tc>
          <w:tcPr>
            <w:tcMar>
              <w:top w:w="108" w:type="dxa"/>
              <w:bottom w:w="108" w:type="dxa"/>
            </w:tcMar>
          </w:tcPr>
          <w:p>
            <w:pPr>
              <w:pStyle w:val="BodyText"/>
            </w:pPr>
            <w:pPr>
              <w:spacing w:before="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bl>
            <w:tblPr>
              <w:tblStyle w:val="Table"/>
              <w:tblW w:type="pct" w:w="5000"/>
              <w:tblLayout w:type="fixed"/>
              <w:tblLook w:firstRow="0" w:lastRow="0" w:firstColumn="0" w:lastColumn="0" w:noHBand="0" w:noVBand="0" w:val="0000"/>
            </w:tblPr>
            <w:tblGrid>
              <w:gridCol w:w="7920"/>
            </w:tblGrid>
            <w:tr>
              <w:tc>
                <w:tcPr/>
                <w:bookmarkStart w:id="32" w:name="fig-feasibility"/>
                <w:p>
                  <w:pPr>
                    <w:pStyle w:val="Compact"/>
                    <w:jc w:val="center"/>
                  </w:pPr>
                  <w:r>
                    <w:drawing>
                      <wp:inline>
                        <wp:extent cx="5334000" cy="2788723"/>
                        <wp:effectExtent b="0" l="0" r="0" t="0"/>
                        <wp:docPr descr="" title="" id="30" name="Picture"/>
                        <a:graphic>
                          <a:graphicData uri="http://schemas.openxmlformats.org/drawingml/2006/picture">
                            <pic:pic>
                              <pic:nvPicPr>
                                <pic:cNvPr descr="images/concept_v2.png" id="31" name="Picture"/>
                                <pic:cNvPicPr>
                                  <a:picLocks noChangeArrowheads="1" noChangeAspect="1"/>
                                </pic:cNvPicPr>
                              </pic:nvPicPr>
                              <pic:blipFill>
                                <a:blip r:embed="rId29"/>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2"/>
              </w:tc>
            </w:tr>
          </w:tbl>
          <w:p>
            <w:pPr>
              <w:pStyle w:val="BlockText"/>
            </w:pPr>
            <w:r>
              <w:t xml:space="preserve">Aside: this is maybe not the IRL</w:t>
            </w:r>
            <w:r>
              <w:t xml:space="preserve"> </w:t>
            </w:r>
            <w:r>
              <w:t xml:space="preserve">‘</w:t>
            </w:r>
            <w:r>
              <w:t xml:space="preserve">assembly mechanisms</w:t>
            </w:r>
            <w:r>
              <w:t xml:space="preserve">’</w:t>
            </w:r>
            <w:r>
              <w:t xml:space="preserve"> </w:t>
            </w:r>
            <w:r>
              <w:t xml:space="preserve">per se (e.g. species must co-occur, then they must meet, then we can determine if the interaction will happen) but it makes modelling sense? IDK… anyway we can shuffle things around</w:t>
            </w:r>
          </w:p>
          <w:bookmarkStart w:id="33" w:name="mechanisms"/>
          <w:p>
            <w:pPr>
              <w:pStyle w:val="Heading3"/>
            </w:pPr>
            <w:r>
              <w:t xml:space="preserve">‘</w:t>
            </w:r>
            <w:r>
              <w:t xml:space="preserve">Mechanisms</w:t>
            </w:r>
            <w:r>
              <w:t xml:space="preserve">’</w:t>
            </w:r>
          </w:p>
          <w:p>
            <w:pPr>
              <w:pStyle w:val="FirstParagraph"/>
            </w:pPr>
            <w:r>
              <w:rPr>
                <w:b/>
                <w:bCs/>
              </w:rPr>
              <w:t xml:space="preserve">1. (Co)occurrence interactions</w:t>
            </w:r>
          </w:p>
          <w:p>
            <w:pPr>
              <w:pStyle w:val="BodyText"/>
            </w:pPr>
            <w:r>
              <w:t xml:space="preserve">Although the outright assumption that because two species are co-occurring it must mean that they are interacting is inherently flawed</w:t>
            </w:r>
            <w:r>
              <w:t xml:space="preserve"> </w:t>
            </w:r>
            <w:r>
              <w:t xml:space="preserve">[27]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[28]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 interactions</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[21]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[29]</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[30]</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 interactions</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Consumer–resource (energetic) interactions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[31]</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[32]</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[33]</w:t>
            </w:r>
            <w:r>
              <w:t xml:space="preserve"> </w:t>
            </w:r>
            <w:r>
              <w:t xml:space="preserve">is also an interesting consideration.</w:t>
            </w:r>
          </w:p>
          <w:p>
            <w:pPr>
              <w:pStyle w:val="BodyText"/>
            </w:pPr>
            <w:r>
              <w:rPr>
                <w:b/>
                <w:bCs/>
              </w:rPr>
              <w:t xml:space="preserve">5. Consumer–environment (energetic) interactions</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[34]</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p>
            <w:pPr>
              <w:pStyle w:val="BlockText"/>
            </w:pPr>
            <w:r>
              <w:t xml:space="preserve">The role of the environment: Although we only explicitly take the environment into consideration in the final</w:t>
            </w:r>
            <w:r>
              <w:t xml:space="preserve"> </w:t>
            </w:r>
            <w:r>
              <w:t xml:space="preserve">‘</w:t>
            </w:r>
            <w:r>
              <w:t xml:space="preserve">rule</w:t>
            </w:r>
            <w:r>
              <w:t xml:space="preserve">’</w:t>
            </w:r>
            <w:r>
              <w:t xml:space="preserve"> </w:t>
            </w:r>
            <w:r>
              <w:t xml:space="preserve">the role of the environment (at least from a modelling perspective) is perhaps also meaningful at the first step (we expect environmental filtering to be the main determinant of species distributions in the absence of species interactions) I think the way in which we perceive the environment at the extreme of these two ends of the spectrum comes down to a question of scale?? Or at least the degree of information that we need at need at these two points is very different. RE occurrence it is a case of survival and for movement it is a case of performance??</w:t>
            </w:r>
          </w:p>
          <w:bookmarkEnd w:id="33"/>
          <w:bookmarkStart w:id="34" w:name="notes-on-the-ensemble-approach"/>
          <w:p>
            <w:pPr>
              <w:pStyle w:val="Heading3"/>
            </w:pPr>
            <w:r>
              <w:t xml:space="preserve">Notes on the</w:t>
            </w:r>
            <w:r>
              <w:t xml:space="preserve"> </w:t>
            </w:r>
            <w:r>
              <w:t xml:space="preserve">‘</w:t>
            </w:r>
            <w:r>
              <w:t xml:space="preserve">ensemble</w:t>
            </w:r>
            <w:r>
              <w:t xml:space="preserve">’</w:t>
            </w:r>
            <w:r>
              <w:t xml:space="preserve"> </w:t>
            </w:r>
            <w:r>
              <w:t xml:space="preserve">approach</w:t>
            </w:r>
          </w:p>
          <w:p>
            <w:pPr>
              <w:pStyle w:val="FirstParagraph"/>
            </w:pPr>
            <w:pPr>
              <w:spacing w:after="16"/>
            </w:pPr>
            <w:r>
              <w:t xml:space="preserve">IDK I just really want to articulate that we can’t feasibly be functioning at a</w:t>
            </w:r>
            <w:r>
              <w:t xml:space="preserve"> </w:t>
            </w:r>
            <w:r>
              <w:t xml:space="preserve">‘</w:t>
            </w:r>
            <w:r>
              <w:t xml:space="preserve">Rule 5</w:t>
            </w:r>
            <w:r>
              <w:t xml:space="preserve">’</w:t>
            </w:r>
            <w:r>
              <w:t xml:space="preserve"> </w:t>
            </w:r>
            <w:r>
              <w:t xml:space="preserve">level at all times because of other real world constraints such as the fact that the amount of data one needs is simply not going to be feasible in most cases… Also that you (probably) need to go through the whole step-wise process because (at least for now) models at the</w:t>
            </w:r>
            <w:r>
              <w:t xml:space="preserve"> </w:t>
            </w:r>
            <w:r>
              <w:t xml:space="preserve">‘</w:t>
            </w:r>
            <w:r>
              <w:t xml:space="preserve">higher</w:t>
            </w:r>
            <w:r>
              <w:t xml:space="preserve">’</w:t>
            </w:r>
            <w:r>
              <w:t xml:space="preserve"> </w:t>
            </w:r>
            <w:r>
              <w:t xml:space="preserve">levels are overlooking some of the</w:t>
            </w:r>
            <w:r>
              <w:t xml:space="preserve"> </w:t>
            </w:r>
            <w:r>
              <w:t xml:space="preserve">‘</w:t>
            </w:r>
            <w:r>
              <w:t xml:space="preserve">lower</w:t>
            </w:r>
            <w:r>
              <w:t xml:space="preserve">’</w:t>
            </w:r>
            <w:r>
              <w:t xml:space="preserve"> </w:t>
            </w:r>
            <w:r>
              <w:t xml:space="preserve">levels</w:t>
            </w:r>
            <w:r>
              <w:t xml:space="preserve"> </w:t>
            </w:r>
            <w:r>
              <w:rPr>
                <w:i/>
                <w:iCs/>
              </w:rPr>
              <w:t xml:space="preserve">e.g.,</w:t>
            </w:r>
            <w:r>
              <w:t xml:space="preserve"> </w:t>
            </w:r>
            <w:r>
              <w:t xml:space="preserve">the the ADBM model (in its current form) has no way of accounting for forbidden links and so it is probably going to end up predicting some links that are strictly speaking</w:t>
            </w:r>
            <w:r>
              <w:t xml:space="preserve"> </w:t>
            </w:r>
            <w:r>
              <w:t xml:space="preserve">‘</w:t>
            </w:r>
            <w:r>
              <w:t xml:space="preserve">forbidden</w:t>
            </w:r>
            <w:r>
              <w:t xml:space="preserve">’</w:t>
            </w:r>
            <w:r>
              <w:t xml:space="preserve"> </w:t>
            </w:r>
            <w:r>
              <w:t xml:space="preserve">at the trait level.</w:t>
            </w:r>
          </w:p>
        </w:tc>
      </w:tr>
    </w:tbl>
    <w:bookmarkEnd w:id="34"/>
    <w:bookmarkEnd w:id="35"/>
    <w:bookmarkEnd w:id="36"/>
    <w:bookmarkStart w:id="37" w:name="sec-network-why"/>
    <w:p>
      <w:pPr>
        <w:pStyle w:val="Heading2"/>
      </w:pPr>
      <w:r>
        <w:t xml:space="preserve">2 Why do we want to predict food webs?</w:t>
      </w:r>
    </w:p>
    <w:p>
      <w:pPr>
        <w:pStyle w:val="FirstParagraph"/>
      </w:pPr>
      <w:r>
        <w:t xml:space="preserve">As discussed in</w:t>
      </w:r>
      <w:r>
        <w:t xml:space="preserve"> </w:t>
      </w:r>
      <w:hyperlink w:anchor="sec-network-anatomy">
        <w:r>
          <w:rPr>
            <w:rStyle w:val="Hyperlink"/>
          </w:rPr>
          <w:t xml:space="preserve">Section 1</w:t>
        </w:r>
      </w:hyperlink>
      <w:r>
        <w:t xml:space="preserve"> </w:t>
      </w:r>
      <w:r>
        <w:t xml:space="preserve">there are many ways to define a food web, meaning that there are equally as many reasons one might be interested in predicting a food web. However we may think of two primary drivers for wanting to predict networks (Panel B</w:t>
      </w:r>
      <w:r>
        <w:t xml:space="preserve"> </w:t>
      </w:r>
      <w:hyperlink w:anchor="fig-concept">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7"/>
    <w:bookmarkStart w:id="53" w:name="sec-network-build"/>
    <w:p>
      <w:pPr>
        <w:pStyle w:val="Heading2"/>
      </w:pPr>
      <w:r>
        <w:t xml:space="preserve">3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concept">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[18]</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concept">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52" w:name="model-families"/>
    <w:p>
      <w:pPr>
        <w:pStyle w:val="Heading3"/>
      </w:pPr>
      <w:r>
        <w:t xml:space="preserve">3.1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
                      <w:iCs/>
                    </w:rPr>
                    <w:t xml:space="preserve">i.e.</w:t>
                  </w:r>
                  <w:r>
                    <w:t xml:space="preserve"> </w:t>
                  </w:r>
                  <w:r>
                    <w:t xml:space="preserve">non-trophic…)</w:t>
                  </w:r>
                </w:p>
              </w:tc>
            </w:tr>
          </w:tbl>
          <w:bookmarkEnd w:id="4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dendro"/>
          <w:p>
            <w:pPr>
              <w:pStyle w:val="Compact"/>
              <w:jc w:val="center"/>
            </w:pPr>
            <w:r>
              <w:drawing>
                <wp:inline>
                  <wp:extent cx="5334000" cy="3809273"/>
                  <wp:effectExtent b="0" l="0" r="0" t="0"/>
                  <wp:docPr descr="" title="" id="42" name="Picture"/>
                  <a:graphic>
                    <a:graphicData uri="http://schemas.openxmlformats.org/drawingml/2006/picture">
                      <pic:pic>
                        <pic:nvPicPr>
                          <pic:cNvPr descr="images/dendo.png" id="43" name="Picture"/>
                          <pic:cNvPicPr>
                            <a:picLocks noChangeArrowheads="1" noChangeAspect="1"/>
                          </pic:cNvPicPr>
                        </pic:nvPicPr>
                        <pic:blipFill>
                          <a:blip r:embed="rId41"/>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4"/>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note.png" id="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2 - Assessing model outputs</w:t>
            </w:r>
          </w:p>
        </w:tc>
      </w:tr>
      <w:tr>
        <w:trPr>
          <w:cantSplit/>
        </w:trPr>
        <w:tc>
          <w:tcPr>
            <w:tcMar>
              <w:top w:w="108" w:type="dxa"/>
              <w:bottom w:w="108" w:type="dxa"/>
            </w:tcMar>
          </w:tcPr>
          <w:p>
            <w:pPr>
              <w:pStyle w:val="BodyText"/>
            </w:pPr>
            <w:pPr>
              <w:spacing w:before="16"/>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hyperlink w:anchor="sec-network-why">
              <w:r>
                <w:rPr>
                  <w:rStyle w:val="Hyperlink"/>
                </w:rPr>
                <w:t xml:space="preserve">Section 2</w:t>
              </w:r>
            </w:hyperlink>
            <w:r>
              <w:t xml:space="preserve">) and linking this back to what aspects of the network (</w:t>
            </w:r>
            <w:hyperlink w:anchor="sec-network-anatomy">
              <w:r>
                <w:rPr>
                  <w:rStyle w:val="Hyperlink"/>
                </w:rPr>
                <w:t xml:space="preserve">Section 1</w:t>
              </w:r>
            </w:hyperlink>
            <w:r>
              <w:t xml:space="preserve">) are of importance and assess the performance of a model within those parameters.</w:t>
            </w:r>
          </w:p>
          <w:p>
            <w:pPr>
              <w:pStyle w:val="BodyText"/>
            </w:pPr>
            <w:r>
              <w:rPr>
                <w:b/>
                <w:bCs/>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7">
              <w:r>
                <w:rPr>
                  <w:rStyle w:val="Hyperlink"/>
                </w:rPr>
                <w:t xml:space="preserve">SuppMat 3</w:t>
              </w:r>
            </w:hyperlink>
          </w:p>
          <w:tbl>
            <w:tblPr>
              <w:tblStyle w:val="Table"/>
              <w:tblW w:type="pct" w:w="5000"/>
              <w:tblLayout w:type="fixed"/>
              <w:tblLook w:firstRow="0" w:lastRow="0" w:firstColumn="0" w:lastColumn="0" w:noHBand="0" w:noVBand="0" w:val="0000"/>
            </w:tblPr>
            <w:tblGrid>
              <w:gridCol w:w="7920"/>
            </w:tblGrid>
            <w:tr>
              <w:tc>
                <w:tcPr/>
                <w:bookmarkStart w:id="51" w:name="fig-topology"/>
                <w:p>
                  <w:pPr>
                    <w:pStyle w:val="Compact"/>
                    <w:jc w:val="center"/>
                  </w:pPr>
                  <w:r>
                    <w:drawing>
                      <wp:inline>
                        <wp:extent cx="5334000" cy="3809273"/>
                        <wp:effectExtent b="0" l="0" r="0" t="0"/>
                        <wp:docPr descr="" title="" id="49" name="Picture"/>
                        <a:graphic>
                          <a:graphicData uri="http://schemas.openxmlformats.org/drawingml/2006/picture">
                            <pic:pic>
                              <pic:nvPicPr>
                                <pic:cNvPr descr="images/topology.png" id="50" name="Picture"/>
                                <pic:cNvPicPr>
                                  <a:picLocks noChangeArrowheads="1" noChangeAspect="1"/>
                                </pic:cNvPicPr>
                              </pic:nvPicPr>
                              <pic:blipFill>
                                <a:blip r:embed="rId4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51"/>
              </w:tc>
            </w:tr>
          </w:tbl>
          <w:p>
            <w:pPr>
              <w:pStyle w:val="BodyText"/>
            </w:pPr>
            <w:r>
              <w:rPr>
                <w:b/>
                <w:bCs/>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
                <w:iCs/>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
                <w:bCs/>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
                <w:iCs/>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
                <w:bCs/>
              </w:rPr>
              <w:t xml:space="preserve">metaweb</w:t>
            </w:r>
            <w:r>
              <w:t xml:space="preserve"> </w:t>
            </w:r>
            <w:r>
              <w:t xml:space="preserve">(</w:t>
            </w:r>
            <w:r>
              <w:rPr>
                <w:i/>
                <w:iCs/>
              </w:rPr>
              <w:t xml:space="preserve">sensu</w:t>
            </w:r>
            <w:r>
              <w:t xml:space="preserve"> </w:t>
            </w:r>
            <w:r>
              <w:t xml:space="preserve">[21]</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
                <w:iCs/>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52"/>
    <w:bookmarkEnd w:id="53"/>
    <w:bookmarkStart w:id="56" w:name="concluding-remarks"/>
    <w:p>
      <w:pPr>
        <w:pStyle w:val="Heading2"/>
      </w:pPr>
      <w:r>
        <w:t xml:space="preserve">4 Concluding remarks</w:t>
      </w:r>
    </w:p>
    <w:p>
      <w:pPr>
        <w:numPr>
          <w:ilvl w:val="0"/>
          <w:numId w:val="1001"/>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pStyle w:val="Compact"/>
        <w:numPr>
          <w:ilvl w:val="1"/>
          <w:numId w:val="1002"/>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1"/>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3"/>
        </w:numPr>
      </w:pPr>
      <w:r>
        <w:t xml:space="preserve">We can briefly shoehorn downsampling here maybe??</w:t>
      </w:r>
    </w:p>
    <w:p>
      <w:pPr>
        <w:numPr>
          <w:ilvl w:val="0"/>
          <w:numId w:val="1001"/>
        </w:numPr>
      </w:pPr>
      <w:r>
        <w:t xml:space="preserve">It will be interesting to bring up the idea that if a model is missing a specific pairwise link but doing well overall then when does it matter?</w:t>
      </w:r>
    </w:p>
    <w:p>
      <w:pPr>
        <w:numPr>
          <w:ilvl w:val="1"/>
          <w:numId w:val="1004"/>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[20,48]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4"/>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5"/>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pStyle w:val="Compact"/>
        <w:numPr>
          <w:ilvl w:val="1"/>
          <w:numId w:val="1006"/>
        </w:numPr>
      </w:pPr>
      <w:r>
        <w:t xml:space="preserve">I think this is sort of the crux of the argument presented in</w:t>
      </w:r>
      <w:r>
        <w:t xml:space="preserve"> </w:t>
      </w:r>
      <w:r>
        <w:t xml:space="preserve">[50]</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7"/>
        </w:numPr>
      </w:pPr>
      <w:r>
        <w:t xml:space="preserve">Do we need network models to predict interactions and interaction models to predict structure?</w:t>
      </w:r>
    </w:p>
    <w:p>
      <w:pPr>
        <w:numPr>
          <w:ilvl w:val="1"/>
          <w:numId w:val="1008"/>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8"/>
        </w:numPr>
      </w:pPr>
      <w:r>
        <w:t xml:space="preserve">Aligning (dove-tailing) with this the idea of ensemble modelling as presented by</w:t>
      </w:r>
      <w:r>
        <w:t xml:space="preserve"> </w:t>
      </w:r>
      <w:r>
        <w:t xml:space="preserve">[51]</w:t>
      </w:r>
    </w:p>
    <w:p>
      <w:pPr>
        <w:numPr>
          <w:ilvl w:val="0"/>
          <w:numId w:val="1007"/>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7"/>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09"/>
        </w:numPr>
      </w:pPr>
      <w:r>
        <w:t xml:space="preserve">The</w:t>
      </w:r>
      <w:r>
        <w:t xml:space="preserve"> </w:t>
      </w:r>
      <w:r>
        <w:t xml:space="preserve">[52]</w:t>
      </w:r>
      <w:r>
        <w:t xml:space="preserve"> </w:t>
      </w:r>
      <w:r>
        <w:t xml:space="preserve">paper looks at some methods but is specifically looking at a bipartite world…</w:t>
      </w:r>
    </w:p>
    <w:bookmarkStart w:id="54" w:name="downsampling"/>
    <w:p>
      <w:pPr>
        <w:pStyle w:val="Heading3"/>
      </w:pPr>
      <w:r>
        <w:t xml:space="preserve">4.1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0"/>
        </w:numPr>
      </w:pPr>
      <w:r>
        <w:t xml:space="preserve">[28]</w:t>
      </w:r>
    </w:p>
    <w:p>
      <w:pPr>
        <w:numPr>
          <w:ilvl w:val="0"/>
          <w:numId w:val="1010"/>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4"/>
    <w:bookmarkStart w:id="55" w:name="time"/>
    <w:p>
      <w:pPr>
        <w:pStyle w:val="Heading3"/>
      </w:pPr>
      <w:r>
        <w:t xml:space="preserve">4.2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5"/>
    <w:bookmarkEnd w:id="56"/>
    <w:bookmarkStart w:id="57" w:name="glossary"/>
    <w:p>
      <w:pPr>
        <w:pStyle w:val="Heading2"/>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7"/>
    <w:bookmarkStart w:id="58" w:name="outstanding-questions"/>
    <w:p>
      <w:pPr>
        <w:pStyle w:val="Heading2"/>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58"/>
    <w:bookmarkStart w:id="165" w:name="references"/>
    <w:p>
      <w:pPr>
        <w:pStyle w:val="Heading2"/>
      </w:pPr>
      <w:r>
        <w:t xml:space="preserve">References</w:t>
      </w:r>
    </w:p>
    <w:bookmarkStart w:id="164" w:name="refs"/>
    <w:bookmarkStart w:id="59"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9"/>
    <w:bookmarkStart w:id="61"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60">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61"/>
    <w:bookmarkStart w:id="63"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62">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63"/>
    <w:bookmarkStart w:id="65" w:name="Xf53c03f1c3fea4e4289657cbb0682f5f23e8b1d"/>
    <w:p>
      <w:pPr>
        <w:pStyle w:val="Bibliography"/>
      </w:pPr>
      <w:r>
        <w:t xml:space="preserve">4.</w:t>
      </w:r>
      <w:r>
        <w:t xml:space="preserve"> </w:t>
      </w:r>
      <w:r>
        <w:t xml:space="preserve">	</w:t>
      </w:r>
      <w:r>
        <w:t xml:space="preserve">Jordano, P. (2016)</w:t>
      </w:r>
      <w:r>
        <w:t xml:space="preserve"> </w:t>
      </w:r>
      <w:hyperlink r:id="rId6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65"/>
    <w:bookmarkStart w:id="67"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6">
        <w:r>
          <w:rPr>
            <w:rStyle w:val="Hyperlink"/>
          </w:rPr>
          <w:t xml:space="preserve">10.1111/1365-2435.12763</w:t>
        </w:r>
      </w:hyperlink>
    </w:p>
    <w:bookmarkEnd w:id="67"/>
    <w:bookmarkStart w:id="69"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69"/>
    <w:bookmarkStart w:id="71"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1"/>
    <w:bookmarkStart w:id="73"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73"/>
    <w:bookmarkStart w:id="75"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5"/>
    <w:bookmarkStart w:id="77"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7"/>
    <w:bookmarkStart w:id="79" w:name="ref-williamsSuccessItsLimits2008"/>
    <w:p>
      <w:pPr>
        <w:pStyle w:val="Bibliography"/>
      </w:pPr>
      <w:r>
        <w:t xml:space="preserve">11.</w:t>
      </w:r>
      <w:r>
        <w:t xml:space="preserve"> </w:t>
      </w:r>
      <w:r>
        <w:t xml:space="preserve">	</w:t>
      </w:r>
      <w:r>
        <w:t xml:space="preserve">Williams, R.J. and Martinez, N.D. (2008)</w:t>
      </w:r>
      <w:r>
        <w:t xml:space="preserve"> </w:t>
      </w:r>
      <w:hyperlink r:id="rId7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79"/>
    <w:bookmarkStart w:id="81"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8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81"/>
    <w:bookmarkStart w:id="83"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82">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83"/>
    <w:bookmarkStart w:id="85"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8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85"/>
    <w:bookmarkStart w:id="87"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8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87"/>
    <w:bookmarkStart w:id="89"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88">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89"/>
    <w:bookmarkStart w:id="91" w:name="ref-poisotDescribeUnderstandPredict2016"/>
    <w:p>
      <w:pPr>
        <w:pStyle w:val="Bibliography"/>
      </w:pPr>
      <w:r>
        <w:t xml:space="preserve">17.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0">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1"/>
    <w:bookmarkStart w:id="93" w:name="ref-williamsSimpleRulesYield2000"/>
    <w:p>
      <w:pPr>
        <w:pStyle w:val="Bibliography"/>
      </w:pPr>
      <w:r>
        <w:t xml:space="preserve">18.</w:t>
      </w:r>
      <w:r>
        <w:t xml:space="preserve"> </w:t>
      </w:r>
      <w:r>
        <w:t xml:space="preserve">	</w:t>
      </w:r>
      <w:r>
        <w:t xml:space="preserve">Williams, R.J. and Martinez, N.D. (2000)</w:t>
      </w:r>
      <w:r>
        <w:t xml:space="preserve"> </w:t>
      </w:r>
      <w:hyperlink r:id="rId9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3"/>
    <w:bookmarkStart w:id="95" w:name="X1e400912f73fb757a731e54197f38b81e74f066"/>
    <w:p>
      <w:pPr>
        <w:pStyle w:val="Bibliography"/>
      </w:pPr>
      <w:r>
        <w:t xml:space="preserve">19.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5"/>
    <w:bookmarkStart w:id="97" w:name="ref-pringleUntanglingFoodWebs2020"/>
    <w:p>
      <w:pPr>
        <w:pStyle w:val="Bibliography"/>
      </w:pPr>
      <w:r>
        <w:t xml:space="preserve">20.</w:t>
      </w:r>
      <w:r>
        <w:t xml:space="preserve"> </w:t>
      </w:r>
      <w:r>
        <w:t xml:space="preserve">	</w:t>
      </w:r>
      <w:r>
        <w:t xml:space="preserve">Pringle, R.M. (2020)</w:t>
      </w:r>
      <w:r>
        <w:t xml:space="preserve"> </w:t>
      </w:r>
      <w:hyperlink r:id="rId9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97"/>
    <w:bookmarkStart w:id="98" w:name="ref-dunneNetworkStructureFood2006"/>
    <w:p>
      <w:pPr>
        <w:pStyle w:val="Bibliography"/>
      </w:pPr>
      <w:r>
        <w:t xml:space="preserve">21.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98"/>
    <w:bookmarkStart w:id="100" w:name="Xe227781537312aad81566d289906b7942bbcf13"/>
    <w:p>
      <w:pPr>
        <w:pStyle w:val="Bibliography"/>
      </w:pPr>
      <w:r>
        <w:t xml:space="preserve">22.</w:t>
      </w:r>
      <w:r>
        <w:t xml:space="preserve"> </w:t>
      </w:r>
      <w:r>
        <w:t xml:space="preserve">	</w:t>
      </w:r>
      <w:r>
        <w:t xml:space="preserve">Lindeman, R.L. (1942)</w:t>
      </w:r>
      <w:r>
        <w:t xml:space="preserve"> </w:t>
      </w:r>
      <w:hyperlink r:id="rId9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0"/>
    <w:bookmarkStart w:id="102" w:name="Xaad5d089781464e09d30bec824bd68c468804d7"/>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1">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2"/>
    <w:bookmarkStart w:id="104" w:name="ref-berlowInteractionStrengthsFood2004"/>
    <w:p>
      <w:pPr>
        <w:pStyle w:val="Bibliography"/>
      </w:pPr>
      <w:r>
        <w:t xml:space="preserve">24.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3">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4"/>
    <w:bookmarkStart w:id="106" w:name="ref-proulxNetworkThinkingEcology2005"/>
    <w:p>
      <w:pPr>
        <w:pStyle w:val="Bibliography"/>
      </w:pPr>
      <w:r>
        <w:t xml:space="preserve">25.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6"/>
    <w:bookmarkStart w:id="108" w:name="X539896ce86e228708f5963ceeaf0e82711f0c07"/>
    <w:p>
      <w:pPr>
        <w:pStyle w:val="Bibliography"/>
      </w:pPr>
      <w:r>
        <w:t xml:space="preserve">26.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08"/>
    <w:bookmarkStart w:id="110" w:name="ref-blanchetCooccurrenceNotEvidence2020"/>
    <w:p>
      <w:pPr>
        <w:pStyle w:val="Bibliography"/>
      </w:pPr>
      <w:r>
        <w:t xml:space="preserve">27.</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10"/>
    <w:bookmarkStart w:id="111" w:name="X1edd2253d2e7e8e6db9e7574240f432ddda2ce1"/>
    <w:p>
      <w:pPr>
        <w:pStyle w:val="Bibliography"/>
      </w:pPr>
      <w:r>
        <w:t xml:space="preserve">28.</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111"/>
    <w:bookmarkStart w:id="113" w:name="ref-strydomGraphEmbeddingTransfer2023"/>
    <w:p>
      <w:pPr>
        <w:pStyle w:val="Bibliography"/>
      </w:pPr>
      <w:r>
        <w:t xml:space="preserve">29.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3"/>
    <w:bookmarkStart w:id="115" w:name="X019b76d0ff0ed2539879586d64dbe016612372d"/>
    <w:p>
      <w:pPr>
        <w:pStyle w:val="Bibliography"/>
      </w:pPr>
      <w:r>
        <w:t xml:space="preserve">30.</w:t>
      </w:r>
      <w:r>
        <w:t xml:space="preserve"> </w:t>
      </w:r>
      <w:r>
        <w:t xml:space="preserve">	</w:t>
      </w:r>
      <w:r>
        <w:t xml:space="preserve">Wootton, J.T. and Emmerson, M. (2005)</w:t>
      </w:r>
      <w:r>
        <w:t xml:space="preserve"> </w:t>
      </w:r>
      <w:hyperlink r:id="rId114">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115"/>
    <w:bookmarkStart w:id="117" w:name="ref-beckermanForagingBiologyPredicts2006"/>
    <w:p>
      <w:pPr>
        <w:pStyle w:val="Bibliography"/>
      </w:pPr>
      <w:r>
        <w:t xml:space="preserve">31.</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1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17"/>
    <w:bookmarkStart w:id="119" w:name="ref-woottonModularTheoryTrophic2023"/>
    <w:p>
      <w:pPr>
        <w:pStyle w:val="Bibliography"/>
      </w:pPr>
      <w:r>
        <w:t xml:space="preserve">32.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9"/>
    <w:bookmarkStart w:id="121"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2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1"/>
    <w:bookmarkStart w:id="123" w:name="ref-cherifEnvironmentRescueCan2024"/>
    <w:p>
      <w:pPr>
        <w:pStyle w:val="Bibliography"/>
      </w:pPr>
      <w:r>
        <w:t xml:space="preserve">34.</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2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3"/>
    <w:bookmarkStart w:id="125"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5"/>
    <w:bookmarkStart w:id="127"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2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27"/>
    <w:bookmarkStart w:id="129"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2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29"/>
    <w:bookmarkStart w:id="131"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3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31"/>
    <w:bookmarkStart w:id="133"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3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33"/>
    <w:bookmarkStart w:id="134"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34"/>
    <w:bookmarkStart w:id="136"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6"/>
    <w:bookmarkStart w:id="138"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7">
        <w:r>
          <w:rPr>
            <w:rStyle w:val="Hyperlink"/>
          </w:rPr>
          <w:t xml:space="preserve">A framework for reconstructing ancient food webs using functional trait data</w:t>
        </w:r>
      </w:hyperlink>
      <w:r>
        <w:t xml:space="preserve">bioRxiv, 2024.01.30.578036</w:t>
      </w:r>
    </w:p>
    <w:bookmarkEnd w:id="138"/>
    <w:bookmarkStart w:id="140"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3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40"/>
    <w:bookmarkStart w:id="142" w:name="ref-kuschEcologicalNetworkInference2023"/>
    <w:p>
      <w:pPr>
        <w:pStyle w:val="Bibliography"/>
      </w:pPr>
      <w:r>
        <w:t xml:space="preserve">44.</w:t>
      </w:r>
      <w:r>
        <w:t xml:space="preserve"> </w:t>
      </w:r>
      <w:r>
        <w:t xml:space="preserve">	</w:t>
      </w:r>
      <w:r>
        <w:t xml:space="preserve">Kusch, E.</w:t>
      </w:r>
      <w:r>
        <w:t xml:space="preserve"> </w:t>
      </w:r>
      <w:r>
        <w:rPr>
          <w:i/>
          <w:iCs/>
        </w:rPr>
        <w:t xml:space="preserve">et al.</w:t>
      </w:r>
      <w:r>
        <w:t xml:space="preserve"> </w:t>
      </w:r>
      <w:r>
        <w:t xml:space="preserve">(2023)</w:t>
      </w:r>
      <w:r>
        <w:t xml:space="preserve"> </w:t>
      </w:r>
      <w:hyperlink r:id="rId141">
        <w:r>
          <w:rPr>
            <w:rStyle w:val="Hyperlink"/>
          </w:rPr>
          <w:t xml:space="preserve">Ecological network inference is not consistent across scales or approaches</w:t>
        </w:r>
      </w:hyperlink>
      <w:r>
        <w:t xml:space="preserve">bioRxiv, 2023.07.13.548816</w:t>
      </w:r>
    </w:p>
    <w:bookmarkEnd w:id="142"/>
    <w:bookmarkStart w:id="144" w:name="ref-allesinaGeneralModelFood2008"/>
    <w:p>
      <w:pPr>
        <w:pStyle w:val="Bibliography"/>
      </w:pPr>
      <w:r>
        <w:t xml:space="preserve">45.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43">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44"/>
    <w:bookmarkStart w:id="146" w:name="X023758d2a089016cd8f0c9d2421079cf7d062ff"/>
    <w:p>
      <w:pPr>
        <w:pStyle w:val="Bibliography"/>
      </w:pPr>
      <w:r>
        <w:t xml:space="preserve">46.</w:t>
      </w:r>
      <w:r>
        <w:t xml:space="preserve"> </w:t>
      </w:r>
      <w:r>
        <w:t xml:space="preserve">	</w:t>
      </w:r>
      <w:r>
        <w:t xml:space="preserve">Poisot, T. (2023)</w:t>
      </w:r>
      <w:r>
        <w:t xml:space="preserve"> </w:t>
      </w:r>
      <w:hyperlink r:id="rId14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6"/>
    <w:bookmarkStart w:id="148" w:name="ref-stoufferEvidenceExistenceRobust2007"/>
    <w:p>
      <w:pPr>
        <w:pStyle w:val="Bibliography"/>
      </w:pPr>
      <w:r>
        <w:t xml:space="preserve">47.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4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48"/>
    <w:bookmarkStart w:id="150"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9">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50"/>
    <w:bookmarkStart w:id="152" w:name="ref-berlowGoldilocksFactorFood2008"/>
    <w:p>
      <w:pPr>
        <w:pStyle w:val="Bibliography"/>
      </w:pPr>
      <w:r>
        <w:t xml:space="preserve">49.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5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52"/>
    <w:bookmarkStart w:id="154" w:name="ref-brimacombeApplyingMethodIts2024"/>
    <w:p>
      <w:pPr>
        <w:pStyle w:val="Bibliography"/>
      </w:pPr>
      <w:r>
        <w:t xml:space="preserve">50.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4"/>
    <w:bookmarkStart w:id="156"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6"/>
    <w:bookmarkStart w:id="158" w:name="ref-terryFindingMissingLinks2020"/>
    <w:p>
      <w:pPr>
        <w:pStyle w:val="Bibliography"/>
      </w:pPr>
      <w:r>
        <w:t xml:space="preserve">52.</w:t>
      </w:r>
      <w:r>
        <w:t xml:space="preserve"> </w:t>
      </w:r>
      <w:r>
        <w:t xml:space="preserve">	</w:t>
      </w:r>
      <w:r>
        <w:t xml:space="preserve">Terry, J.C.D. and Lewis, O.T. (2020)</w:t>
      </w:r>
      <w:r>
        <w:t xml:space="preserve"> </w:t>
      </w:r>
      <w:hyperlink r:id="rId15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8"/>
    <w:bookmarkStart w:id="160" w:name="ref-fortinNetworkEcologyDynamic2021"/>
    <w:p>
      <w:pPr>
        <w:pStyle w:val="Bibliography"/>
      </w:pPr>
      <w:r>
        <w:t xml:space="preserve">53.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60"/>
    <w:bookmarkStart w:id="161"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61"/>
    <w:bookmarkStart w:id="163" w:name="ref-saraviaEcologicalNetworkAssembly2022"/>
    <w:p>
      <w:pPr>
        <w:pStyle w:val="Bibliography"/>
      </w:pPr>
      <w:r>
        <w:t xml:space="preserve">55.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6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47" Target="https://beckslab.github.io/ms_t_is_for_topology/notebooks/model_quantitative-preview.html" TargetMode="External" /><Relationship Type="http://schemas.openxmlformats.org/officeDocument/2006/relationships/hyperlink" Id="rId101" Target="https://doi.org/10" TargetMode="External" /><Relationship Type="http://schemas.openxmlformats.org/officeDocument/2006/relationships/hyperlink" Id="rId94" Target="https://doi.org/10.1002/ecy.2523" TargetMode="External" /><Relationship Type="http://schemas.openxmlformats.org/officeDocument/2006/relationships/hyperlink" Id="rId157" Target="https://doi.org/10.1002/ecy.3047" TargetMode="External" /><Relationship Type="http://schemas.openxmlformats.org/officeDocument/2006/relationships/hyperlink" Id="rId155" Target="https://doi.org/10.1016/S2666-5247(21)00245-7" TargetMode="External" /><Relationship Type="http://schemas.openxmlformats.org/officeDocument/2006/relationships/hyperlink" Id="rId86" Target="https://doi.org/10.1016/j.jtbi.2011.03.019" TargetMode="External" /><Relationship Type="http://schemas.openxmlformats.org/officeDocument/2006/relationships/hyperlink" Id="rId105" Target="https://doi.org/10.1016/j.tree.2005.04.004" TargetMode="External" /><Relationship Type="http://schemas.openxmlformats.org/officeDocument/2006/relationships/hyperlink" Id="rId68" Target="https://doi.org/10.1016/j.tree.2015.03.014" TargetMode="External" /><Relationship Type="http://schemas.openxmlformats.org/officeDocument/2006/relationships/hyperlink" Id="rId92" Target="https://doi.org/10.1038/35004572" TargetMode="External" /><Relationship Type="http://schemas.openxmlformats.org/officeDocument/2006/relationships/hyperlink" Id="rId120" Target="https://doi.org/10.1038/nature11131" TargetMode="External" /><Relationship Type="http://schemas.openxmlformats.org/officeDocument/2006/relationships/hyperlink" Id="rId82" Target="https://doi.org/10.1038/s42003-023-05622-3" TargetMode="External" /><Relationship Type="http://schemas.openxmlformats.org/officeDocument/2006/relationships/hyperlink" Id="rId116" Target="https://doi.org/10.1073/pnas.0603039103" TargetMode="External" /><Relationship Type="http://schemas.openxmlformats.org/officeDocument/2006/relationships/hyperlink" Id="rId76" Target="https://doi.org/10.1073/pnas.0710672105" TargetMode="External" /><Relationship Type="http://schemas.openxmlformats.org/officeDocument/2006/relationships/hyperlink" Id="rId151"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147" Target="https://doi.org/10.1098/rspb.2007.0571" TargetMode="External" /><Relationship Type="http://schemas.openxmlformats.org/officeDocument/2006/relationships/hyperlink" Id="rId130" Target="https://doi.org/10.1098/rspb.2009.0413" TargetMode="External" /><Relationship Type="http://schemas.openxmlformats.org/officeDocument/2006/relationships/hyperlink" Id="rId159" Target="https://doi.org/10.1098/rspb.2020.1889" TargetMode="External" /><Relationship Type="http://schemas.openxmlformats.org/officeDocument/2006/relationships/hyperlink" Id="rId70" Target="https://doi.org/10.1098/rstb.2021.0063" TargetMode="External" /><Relationship Type="http://schemas.openxmlformats.org/officeDocument/2006/relationships/hyperlink" Id="rId141" Target="https://doi.org/10.1101/2023.07.13.548816" TargetMode="External" /><Relationship Type="http://schemas.openxmlformats.org/officeDocument/2006/relationships/hyperlink" Id="rId137" Target="https://doi.org/10.1101/2024.01.30.578036" TargetMode="External" /><Relationship Type="http://schemas.openxmlformats.org/officeDocument/2006/relationships/hyperlink" Id="rId66" Target="https://doi.org/10.1111/1365-2435.12763" TargetMode="External" /><Relationship Type="http://schemas.openxmlformats.org/officeDocument/2006/relationships/hyperlink" Id="rId118" Target="https://doi.org/10.1111/1365-2435.13954" TargetMode="External" /><Relationship Type="http://schemas.openxmlformats.org/officeDocument/2006/relationships/hyperlink" Id="rId162" Target="https://doi.org/10.1111/1365-2656.13652" TargetMode="External" /><Relationship Type="http://schemas.openxmlformats.org/officeDocument/2006/relationships/hyperlink" Id="rId128" Target="https://doi.org/10.1111/2041-210X.12180" TargetMode="External" /><Relationship Type="http://schemas.openxmlformats.org/officeDocument/2006/relationships/hyperlink" Id="rId135" Target="https://doi.org/10.1111/2041-210X.13180" TargetMode="External" /><Relationship Type="http://schemas.openxmlformats.org/officeDocument/2006/relationships/hyperlink" Id="rId80" Target="https://doi.org/10.1111/2041-210X.13329" TargetMode="External" /><Relationship Type="http://schemas.openxmlformats.org/officeDocument/2006/relationships/hyperlink" Id="rId74" Target="https://doi.org/10.1111/2041-210X.13835" TargetMode="External" /><Relationship Type="http://schemas.openxmlformats.org/officeDocument/2006/relationships/hyperlink" Id="rId145"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122" Target="https://doi.org/10.1111/brv.13105" TargetMode="External" /><Relationship Type="http://schemas.openxmlformats.org/officeDocument/2006/relationships/hyperlink" Id="rId72" Target="https://doi.org/10.1111/ecog.01941" TargetMode="External" /><Relationship Type="http://schemas.openxmlformats.org/officeDocument/2006/relationships/hyperlink" Id="rId109" Target="https://doi.org/10.1111/ele.13525" TargetMode="External" /><Relationship Type="http://schemas.openxmlformats.org/officeDocument/2006/relationships/hyperlink" Id="rId132" Target="https://doi.org/10.1111/geb.13807" TargetMode="External" /><Relationship Type="http://schemas.openxmlformats.org/officeDocument/2006/relationships/hyperlink" Id="rId103" Target="https://doi.org/10.1111/j.0021-8790.2004.00833.x" TargetMode="External" /><Relationship Type="http://schemas.openxmlformats.org/officeDocument/2006/relationships/hyperlink" Id="rId78" Target="https://doi.org/10.1111/j.1365-2656.2008.01362.x" TargetMode="External" /><Relationship Type="http://schemas.openxmlformats.org/officeDocument/2006/relationships/hyperlink" Id="rId88" Target="https://doi.org/10.1111/j.1461-0248.2010.01485.x" TargetMode="External" /><Relationship Type="http://schemas.openxmlformats.org/officeDocument/2006/relationships/hyperlink" Id="rId62" Target="https://doi.org/10.1111/jbi.14127" TargetMode="External" /><Relationship Type="http://schemas.openxmlformats.org/officeDocument/2006/relationships/hyperlink" Id="rId84" Target="https://doi.org/10.1111/jbi.14734" TargetMode="External" /><Relationship Type="http://schemas.openxmlformats.org/officeDocument/2006/relationships/hyperlink" Id="rId139" Target="https://doi.org/10.1111/oik.01719" TargetMode="External" /><Relationship Type="http://schemas.openxmlformats.org/officeDocument/2006/relationships/hyperlink" Id="rId143" Target="https://doi.org/10.1126/science.1156269" TargetMode="External" /><Relationship Type="http://schemas.openxmlformats.org/officeDocument/2006/relationships/hyperlink" Id="rId149" Target="https://doi.org/10.1146/annurev-ecolsys-110218-024908" TargetMode="External" /><Relationship Type="http://schemas.openxmlformats.org/officeDocument/2006/relationships/hyperlink" Id="rId60" Target="https://doi.org/10.1146/annurev-ecolsys-112414-054400" TargetMode="External" /><Relationship Type="http://schemas.openxmlformats.org/officeDocument/2006/relationships/hyperlink" Id="rId114" Target="https://doi.org/10.1146/annurev.ecolsys.36.091704.175535" TargetMode="External" /><Relationship Type="http://schemas.openxmlformats.org/officeDocument/2006/relationships/hyperlink" Id="rId153"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64" Target="https://doi.org/10.1371/journal.pbio.1002559" TargetMode="External" /><Relationship Type="http://schemas.openxmlformats.org/officeDocument/2006/relationships/hyperlink" Id="rId107" Target="https://doi.org/10.1371/journal.pbio.3002068" TargetMode="External" /><Relationship Type="http://schemas.openxmlformats.org/officeDocument/2006/relationships/hyperlink" Id="rId96" Target="https://doi.org/10.1515/9780691195322-020" TargetMode="External" /><Relationship Type="http://schemas.openxmlformats.org/officeDocument/2006/relationships/hyperlink" Id="rId99" Target="https://doi.org/10.2307/1930126" TargetMode="External" /><Relationship Type="http://schemas.openxmlformats.org/officeDocument/2006/relationships/hyperlink" Id="rId90"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47" Target="https://beckslab.github.io/ms_t_is_for_topology/notebooks/model_quantitative-preview.html" TargetMode="External" /><Relationship Type="http://schemas.openxmlformats.org/officeDocument/2006/relationships/hyperlink" Id="rId101" Target="https://doi.org/10" TargetMode="External" /><Relationship Type="http://schemas.openxmlformats.org/officeDocument/2006/relationships/hyperlink" Id="rId94" Target="https://doi.org/10.1002/ecy.2523" TargetMode="External" /><Relationship Type="http://schemas.openxmlformats.org/officeDocument/2006/relationships/hyperlink" Id="rId157" Target="https://doi.org/10.1002/ecy.3047" TargetMode="External" /><Relationship Type="http://schemas.openxmlformats.org/officeDocument/2006/relationships/hyperlink" Id="rId155" Target="https://doi.org/10.1016/S2666-5247(21)00245-7" TargetMode="External" /><Relationship Type="http://schemas.openxmlformats.org/officeDocument/2006/relationships/hyperlink" Id="rId86" Target="https://doi.org/10.1016/j.jtbi.2011.03.019" TargetMode="External" /><Relationship Type="http://schemas.openxmlformats.org/officeDocument/2006/relationships/hyperlink" Id="rId105" Target="https://doi.org/10.1016/j.tree.2005.04.004" TargetMode="External" /><Relationship Type="http://schemas.openxmlformats.org/officeDocument/2006/relationships/hyperlink" Id="rId68" Target="https://doi.org/10.1016/j.tree.2015.03.014" TargetMode="External" /><Relationship Type="http://schemas.openxmlformats.org/officeDocument/2006/relationships/hyperlink" Id="rId92" Target="https://doi.org/10.1038/35004572" TargetMode="External" /><Relationship Type="http://schemas.openxmlformats.org/officeDocument/2006/relationships/hyperlink" Id="rId120" Target="https://doi.org/10.1038/nature11131" TargetMode="External" /><Relationship Type="http://schemas.openxmlformats.org/officeDocument/2006/relationships/hyperlink" Id="rId82" Target="https://doi.org/10.1038/s42003-023-05622-3" TargetMode="External" /><Relationship Type="http://schemas.openxmlformats.org/officeDocument/2006/relationships/hyperlink" Id="rId116" Target="https://doi.org/10.1073/pnas.0603039103" TargetMode="External" /><Relationship Type="http://schemas.openxmlformats.org/officeDocument/2006/relationships/hyperlink" Id="rId76" Target="https://doi.org/10.1073/pnas.0710672105" TargetMode="External" /><Relationship Type="http://schemas.openxmlformats.org/officeDocument/2006/relationships/hyperlink" Id="rId151"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147" Target="https://doi.org/10.1098/rspb.2007.0571" TargetMode="External" /><Relationship Type="http://schemas.openxmlformats.org/officeDocument/2006/relationships/hyperlink" Id="rId130" Target="https://doi.org/10.1098/rspb.2009.0413" TargetMode="External" /><Relationship Type="http://schemas.openxmlformats.org/officeDocument/2006/relationships/hyperlink" Id="rId159" Target="https://doi.org/10.1098/rspb.2020.1889" TargetMode="External" /><Relationship Type="http://schemas.openxmlformats.org/officeDocument/2006/relationships/hyperlink" Id="rId70" Target="https://doi.org/10.1098/rstb.2021.0063" TargetMode="External" /><Relationship Type="http://schemas.openxmlformats.org/officeDocument/2006/relationships/hyperlink" Id="rId141" Target="https://doi.org/10.1101/2023.07.13.548816" TargetMode="External" /><Relationship Type="http://schemas.openxmlformats.org/officeDocument/2006/relationships/hyperlink" Id="rId137" Target="https://doi.org/10.1101/2024.01.30.578036" TargetMode="External" /><Relationship Type="http://schemas.openxmlformats.org/officeDocument/2006/relationships/hyperlink" Id="rId66" Target="https://doi.org/10.1111/1365-2435.12763" TargetMode="External" /><Relationship Type="http://schemas.openxmlformats.org/officeDocument/2006/relationships/hyperlink" Id="rId118" Target="https://doi.org/10.1111/1365-2435.13954" TargetMode="External" /><Relationship Type="http://schemas.openxmlformats.org/officeDocument/2006/relationships/hyperlink" Id="rId162" Target="https://doi.org/10.1111/1365-2656.13652" TargetMode="External" /><Relationship Type="http://schemas.openxmlformats.org/officeDocument/2006/relationships/hyperlink" Id="rId128" Target="https://doi.org/10.1111/2041-210X.12180" TargetMode="External" /><Relationship Type="http://schemas.openxmlformats.org/officeDocument/2006/relationships/hyperlink" Id="rId135" Target="https://doi.org/10.1111/2041-210X.13180" TargetMode="External" /><Relationship Type="http://schemas.openxmlformats.org/officeDocument/2006/relationships/hyperlink" Id="rId80" Target="https://doi.org/10.1111/2041-210X.13329" TargetMode="External" /><Relationship Type="http://schemas.openxmlformats.org/officeDocument/2006/relationships/hyperlink" Id="rId74" Target="https://doi.org/10.1111/2041-210X.13835" TargetMode="External" /><Relationship Type="http://schemas.openxmlformats.org/officeDocument/2006/relationships/hyperlink" Id="rId145"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122" Target="https://doi.org/10.1111/brv.13105" TargetMode="External" /><Relationship Type="http://schemas.openxmlformats.org/officeDocument/2006/relationships/hyperlink" Id="rId72" Target="https://doi.org/10.1111/ecog.01941" TargetMode="External" /><Relationship Type="http://schemas.openxmlformats.org/officeDocument/2006/relationships/hyperlink" Id="rId109" Target="https://doi.org/10.1111/ele.13525" TargetMode="External" /><Relationship Type="http://schemas.openxmlformats.org/officeDocument/2006/relationships/hyperlink" Id="rId132" Target="https://doi.org/10.1111/geb.13807" TargetMode="External" /><Relationship Type="http://schemas.openxmlformats.org/officeDocument/2006/relationships/hyperlink" Id="rId103" Target="https://doi.org/10.1111/j.0021-8790.2004.00833.x" TargetMode="External" /><Relationship Type="http://schemas.openxmlformats.org/officeDocument/2006/relationships/hyperlink" Id="rId78" Target="https://doi.org/10.1111/j.1365-2656.2008.01362.x" TargetMode="External" /><Relationship Type="http://schemas.openxmlformats.org/officeDocument/2006/relationships/hyperlink" Id="rId88" Target="https://doi.org/10.1111/j.1461-0248.2010.01485.x" TargetMode="External" /><Relationship Type="http://schemas.openxmlformats.org/officeDocument/2006/relationships/hyperlink" Id="rId62" Target="https://doi.org/10.1111/jbi.14127" TargetMode="External" /><Relationship Type="http://schemas.openxmlformats.org/officeDocument/2006/relationships/hyperlink" Id="rId84" Target="https://doi.org/10.1111/jbi.14734" TargetMode="External" /><Relationship Type="http://schemas.openxmlformats.org/officeDocument/2006/relationships/hyperlink" Id="rId139" Target="https://doi.org/10.1111/oik.01719" TargetMode="External" /><Relationship Type="http://schemas.openxmlformats.org/officeDocument/2006/relationships/hyperlink" Id="rId143" Target="https://doi.org/10.1126/science.1156269" TargetMode="External" /><Relationship Type="http://schemas.openxmlformats.org/officeDocument/2006/relationships/hyperlink" Id="rId149" Target="https://doi.org/10.1146/annurev-ecolsys-110218-024908" TargetMode="External" /><Relationship Type="http://schemas.openxmlformats.org/officeDocument/2006/relationships/hyperlink" Id="rId60" Target="https://doi.org/10.1146/annurev-ecolsys-112414-054400" TargetMode="External" /><Relationship Type="http://schemas.openxmlformats.org/officeDocument/2006/relationships/hyperlink" Id="rId114" Target="https://doi.org/10.1146/annurev.ecolsys.36.091704.175535" TargetMode="External" /><Relationship Type="http://schemas.openxmlformats.org/officeDocument/2006/relationships/hyperlink" Id="rId153"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64" Target="https://doi.org/10.1371/journal.pbio.1002559" TargetMode="External" /><Relationship Type="http://schemas.openxmlformats.org/officeDocument/2006/relationships/hyperlink" Id="rId107" Target="https://doi.org/10.1371/journal.pbio.3002068" TargetMode="External" /><Relationship Type="http://schemas.openxmlformats.org/officeDocument/2006/relationships/hyperlink" Id="rId96" Target="https://doi.org/10.1515/9780691195322-020" TargetMode="External" /><Relationship Type="http://schemas.openxmlformats.org/officeDocument/2006/relationships/hyperlink" Id="rId99" Target="https://doi.org/10.2307/1930126" TargetMode="External" /><Relationship Type="http://schemas.openxmlformats.org/officeDocument/2006/relationships/hyperlink" Id="rId90"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2024-06-26T14:52:40Z</dcterms:created>
  <dcterms:modified xsi:type="dcterms:W3CDTF">2024-06-26T14:52:40Z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